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AB" w:rsidRPr="009B21AB" w:rsidRDefault="009B21AB" w:rsidP="009B21AB">
      <w:pPr>
        <w:spacing w:after="0"/>
        <w:ind w:firstLine="708"/>
        <w:jc w:val="both"/>
        <w:rPr>
          <w:rFonts w:ascii="Cambria" w:hAnsi="Cambria" w:cs="Times New Roman"/>
          <w:b/>
          <w:i/>
        </w:rPr>
      </w:pPr>
      <w:r w:rsidRPr="009B21AB">
        <w:rPr>
          <w:rFonts w:ascii="Cambria" w:hAnsi="Cambria"/>
        </w:rPr>
        <w:t>Na temelju članka 107. stavka 9.</w:t>
      </w:r>
      <w:r w:rsidRPr="009B21AB">
        <w:rPr>
          <w:rFonts w:ascii="Cambria" w:hAnsi="Cambria" w:cs="Arial"/>
        </w:rPr>
        <w:t xml:space="preserve"> i članka 118. Zakona o odgoju i obrazovanju u osnovnoj i srednjoj školi („Narodne novine“, broj: 87/08., 86/09., 92/10., 105/10., - ispravak, 90/11., 5/12., 16/12., 86/12., 94/13., 152/14., 7/17., 68/19., 98/19. i 64/20)</w:t>
      </w:r>
      <w:r w:rsidRPr="009B21AB">
        <w:rPr>
          <w:rFonts w:ascii="Cambria" w:hAnsi="Cambria" w:cs="Arial"/>
          <w:b/>
        </w:rPr>
        <w:t>,</w:t>
      </w:r>
      <w:r w:rsidRPr="009B21AB">
        <w:rPr>
          <w:rFonts w:ascii="Cambria" w:hAnsi="Cambria"/>
        </w:rPr>
        <w:t xml:space="preserve"> članaka 29. Statuta Osnovne škole Marije Jurić Zagorke te </w:t>
      </w:r>
      <w:r w:rsidRPr="009B21AB">
        <w:rPr>
          <w:rFonts w:ascii="Cambria" w:eastAsia="Times New Roman" w:hAnsi="Cambria" w:cs="Times New Roman"/>
        </w:rPr>
        <w:t>u</w:t>
      </w:r>
      <w:r w:rsidRPr="009B21AB">
        <w:rPr>
          <w:rFonts w:ascii="Cambria" w:eastAsia="Times New Roman" w:hAnsi="Cambria" w:cs="Times New Roman"/>
          <w:spacing w:val="2"/>
        </w:rPr>
        <w:t>v</w:t>
      </w:r>
      <w:r w:rsidRPr="009B21AB">
        <w:rPr>
          <w:rFonts w:ascii="Cambria" w:eastAsia="Times New Roman" w:hAnsi="Cambria" w:cs="Times New Roman"/>
        </w:rPr>
        <w:t>a</w:t>
      </w:r>
      <w:r w:rsidRPr="009B21AB">
        <w:rPr>
          <w:rFonts w:ascii="Cambria" w:eastAsia="Times New Roman" w:hAnsi="Cambria" w:cs="Times New Roman"/>
          <w:spacing w:val="1"/>
        </w:rPr>
        <w:t>ž</w:t>
      </w:r>
      <w:r w:rsidRPr="009B21AB">
        <w:rPr>
          <w:rFonts w:ascii="Cambria" w:eastAsia="Times New Roman" w:hAnsi="Cambria" w:cs="Times New Roman"/>
        </w:rPr>
        <w:t>av</w:t>
      </w:r>
      <w:r w:rsidRPr="009B21AB">
        <w:rPr>
          <w:rFonts w:ascii="Cambria" w:eastAsia="Times New Roman" w:hAnsi="Cambria" w:cs="Times New Roman"/>
          <w:spacing w:val="-1"/>
        </w:rPr>
        <w:t>a</w:t>
      </w:r>
      <w:r w:rsidRPr="009B21AB">
        <w:rPr>
          <w:rFonts w:ascii="Cambria" w:eastAsia="Times New Roman" w:hAnsi="Cambria" w:cs="Times New Roman"/>
        </w:rPr>
        <w:t>jući</w:t>
      </w:r>
      <w:r w:rsidRPr="009B21AB">
        <w:rPr>
          <w:rFonts w:ascii="Cambria" w:eastAsia="Times New Roman" w:hAnsi="Cambria" w:cs="Times New Roman"/>
          <w:spacing w:val="30"/>
        </w:rPr>
        <w:t xml:space="preserve"> </w:t>
      </w:r>
      <w:r w:rsidRPr="009B21AB">
        <w:rPr>
          <w:rFonts w:ascii="Cambria" w:eastAsia="Times New Roman" w:hAnsi="Cambria" w:cs="Times New Roman"/>
          <w:spacing w:val="2"/>
        </w:rPr>
        <w:t>o</w:t>
      </w:r>
      <w:r w:rsidRPr="009B21AB">
        <w:rPr>
          <w:rFonts w:ascii="Cambria" w:eastAsia="Times New Roman" w:hAnsi="Cambria" w:cs="Times New Roman"/>
        </w:rPr>
        <w:t>dr</w:t>
      </w:r>
      <w:r w:rsidRPr="009B21AB">
        <w:rPr>
          <w:rFonts w:ascii="Cambria" w:eastAsia="Times New Roman" w:hAnsi="Cambria" w:cs="Times New Roman"/>
          <w:spacing w:val="-1"/>
        </w:rPr>
        <w:t>e</w:t>
      </w:r>
      <w:r w:rsidRPr="009B21AB">
        <w:rPr>
          <w:rFonts w:ascii="Cambria" w:eastAsia="Times New Roman" w:hAnsi="Cambria" w:cs="Times New Roman"/>
        </w:rPr>
        <w:t>dbe</w:t>
      </w:r>
      <w:r w:rsidRPr="009B21AB">
        <w:rPr>
          <w:rFonts w:ascii="Cambria" w:eastAsia="Times New Roman" w:hAnsi="Cambria" w:cs="Times New Roman"/>
          <w:spacing w:val="29"/>
        </w:rPr>
        <w:t xml:space="preserve"> </w:t>
      </w:r>
      <w:r w:rsidRPr="009B21AB">
        <w:rPr>
          <w:rFonts w:ascii="Cambria" w:eastAsia="Times New Roman" w:hAnsi="Cambria" w:cs="Times New Roman"/>
        </w:rPr>
        <w:t>čl.</w:t>
      </w:r>
      <w:r w:rsidRPr="009B21AB">
        <w:rPr>
          <w:rFonts w:ascii="Cambria" w:eastAsia="Times New Roman" w:hAnsi="Cambria" w:cs="Times New Roman"/>
          <w:spacing w:val="31"/>
        </w:rPr>
        <w:t xml:space="preserve"> </w:t>
      </w:r>
      <w:r w:rsidRPr="009B21AB">
        <w:rPr>
          <w:rFonts w:ascii="Cambria" w:eastAsia="Times New Roman" w:hAnsi="Cambria" w:cs="Times New Roman"/>
        </w:rPr>
        <w:t>52.</w:t>
      </w:r>
      <w:r w:rsidRPr="009B21AB">
        <w:rPr>
          <w:rFonts w:ascii="Cambria" w:eastAsia="Times New Roman" w:hAnsi="Cambria" w:cs="Times New Roman"/>
          <w:spacing w:val="33"/>
        </w:rPr>
        <w:t xml:space="preserve"> </w:t>
      </w:r>
      <w:r w:rsidRPr="009B21AB">
        <w:rPr>
          <w:rFonts w:ascii="Cambria" w:eastAsia="Times New Roman" w:hAnsi="Cambria" w:cs="Times New Roman"/>
          <w:spacing w:val="-2"/>
        </w:rPr>
        <w:t>Z</w:t>
      </w:r>
      <w:r w:rsidRPr="009B21AB">
        <w:rPr>
          <w:rFonts w:ascii="Cambria" w:eastAsia="Times New Roman" w:hAnsi="Cambria" w:cs="Times New Roman"/>
          <w:spacing w:val="-1"/>
        </w:rPr>
        <w:t>a</w:t>
      </w:r>
      <w:r w:rsidRPr="009B21AB">
        <w:rPr>
          <w:rFonts w:ascii="Cambria" w:eastAsia="Times New Roman" w:hAnsi="Cambria" w:cs="Times New Roman"/>
        </w:rPr>
        <w:t>ko</w:t>
      </w:r>
      <w:r w:rsidRPr="009B21AB">
        <w:rPr>
          <w:rFonts w:ascii="Cambria" w:eastAsia="Times New Roman" w:hAnsi="Cambria" w:cs="Times New Roman"/>
          <w:spacing w:val="2"/>
        </w:rPr>
        <w:t>n</w:t>
      </w:r>
      <w:r w:rsidRPr="009B21AB">
        <w:rPr>
          <w:rFonts w:ascii="Cambria" w:eastAsia="Times New Roman" w:hAnsi="Cambria" w:cs="Times New Roman"/>
        </w:rPr>
        <w:t>a</w:t>
      </w:r>
      <w:r w:rsidRPr="009B21AB">
        <w:rPr>
          <w:rFonts w:ascii="Cambria" w:eastAsia="Times New Roman" w:hAnsi="Cambria" w:cs="Times New Roman"/>
          <w:spacing w:val="30"/>
        </w:rPr>
        <w:t xml:space="preserve"> </w:t>
      </w:r>
      <w:r w:rsidRPr="009B21AB">
        <w:rPr>
          <w:rFonts w:ascii="Cambria" w:eastAsia="Times New Roman" w:hAnsi="Cambria" w:cs="Times New Roman"/>
        </w:rPr>
        <w:t>o</w:t>
      </w:r>
      <w:r w:rsidRPr="009B21AB">
        <w:rPr>
          <w:rFonts w:ascii="Cambria" w:eastAsia="Times New Roman" w:hAnsi="Cambria" w:cs="Times New Roman"/>
          <w:spacing w:val="31"/>
        </w:rPr>
        <w:t xml:space="preserve"> </w:t>
      </w:r>
      <w:r w:rsidRPr="009B21AB">
        <w:rPr>
          <w:rFonts w:ascii="Cambria" w:eastAsia="Times New Roman" w:hAnsi="Cambria" w:cs="Times New Roman"/>
        </w:rPr>
        <w:t>pro</w:t>
      </w:r>
      <w:r w:rsidRPr="009B21AB">
        <w:rPr>
          <w:rFonts w:ascii="Cambria" w:eastAsia="Times New Roman" w:hAnsi="Cambria" w:cs="Times New Roman"/>
          <w:spacing w:val="-1"/>
        </w:rPr>
        <w:t>rač</w:t>
      </w:r>
      <w:r w:rsidRPr="009B21AB">
        <w:rPr>
          <w:rFonts w:ascii="Cambria" w:eastAsia="Times New Roman" w:hAnsi="Cambria" w:cs="Times New Roman"/>
        </w:rPr>
        <w:t>unu</w:t>
      </w:r>
      <w:r w:rsidRPr="009B21AB">
        <w:rPr>
          <w:rFonts w:ascii="Cambria" w:eastAsia="Times New Roman" w:hAnsi="Cambria" w:cs="Times New Roman"/>
          <w:spacing w:val="30"/>
        </w:rPr>
        <w:t xml:space="preserve"> </w:t>
      </w:r>
      <w:r w:rsidRPr="009B21AB">
        <w:rPr>
          <w:rFonts w:ascii="Cambria" w:eastAsia="Times New Roman" w:hAnsi="Cambria" w:cs="Times New Roman"/>
          <w:spacing w:val="2"/>
        </w:rPr>
        <w:t>(</w:t>
      </w:r>
      <w:r w:rsidRPr="009B21AB">
        <w:rPr>
          <w:rFonts w:ascii="Cambria" w:eastAsia="Times New Roman" w:hAnsi="Cambria" w:cs="Times New Roman"/>
          <w:spacing w:val="-1"/>
        </w:rPr>
        <w:t>"</w:t>
      </w:r>
      <w:r w:rsidRPr="009B21AB">
        <w:rPr>
          <w:rFonts w:ascii="Cambria" w:eastAsia="Times New Roman" w:hAnsi="Cambria" w:cs="Times New Roman"/>
        </w:rPr>
        <w:t>Narodne</w:t>
      </w:r>
      <w:r w:rsidRPr="009B21AB">
        <w:rPr>
          <w:rFonts w:ascii="Cambria" w:eastAsia="Times New Roman" w:hAnsi="Cambria" w:cs="Times New Roman"/>
          <w:spacing w:val="29"/>
        </w:rPr>
        <w:t xml:space="preserve"> </w:t>
      </w:r>
      <w:r w:rsidRPr="009B21AB">
        <w:rPr>
          <w:rFonts w:ascii="Cambria" w:eastAsia="Times New Roman" w:hAnsi="Cambria" w:cs="Times New Roman"/>
          <w:spacing w:val="2"/>
        </w:rPr>
        <w:t>n</w:t>
      </w:r>
      <w:r w:rsidRPr="009B21AB">
        <w:rPr>
          <w:rFonts w:ascii="Cambria" w:eastAsia="Times New Roman" w:hAnsi="Cambria" w:cs="Times New Roman"/>
        </w:rPr>
        <w:t>ovine",</w:t>
      </w:r>
      <w:r w:rsidRPr="009B21AB">
        <w:rPr>
          <w:rFonts w:ascii="Cambria" w:eastAsia="Times New Roman" w:hAnsi="Cambria" w:cs="Times New Roman"/>
          <w:spacing w:val="28"/>
        </w:rPr>
        <w:t xml:space="preserve"> </w:t>
      </w:r>
      <w:r w:rsidRPr="009B21AB">
        <w:rPr>
          <w:rFonts w:ascii="Cambria" w:eastAsia="Times New Roman" w:hAnsi="Cambria" w:cs="Times New Roman"/>
        </w:rPr>
        <w:t>broj: 87/08.,136/12.</w:t>
      </w:r>
      <w:r w:rsidRPr="009B21AB">
        <w:rPr>
          <w:rFonts w:ascii="Cambria" w:eastAsia="Times New Roman" w:hAnsi="Cambria" w:cs="Times New Roman"/>
          <w:spacing w:val="86"/>
        </w:rPr>
        <w:t xml:space="preserve"> </w:t>
      </w:r>
      <w:r w:rsidRPr="009B21AB">
        <w:rPr>
          <w:rFonts w:ascii="Cambria" w:eastAsia="Times New Roman" w:hAnsi="Cambria" w:cs="Times New Roman"/>
        </w:rPr>
        <w:t>i</w:t>
      </w:r>
      <w:r w:rsidRPr="009B21AB">
        <w:rPr>
          <w:rFonts w:ascii="Cambria" w:eastAsia="Times New Roman" w:hAnsi="Cambria" w:cs="Times New Roman"/>
          <w:spacing w:val="87"/>
        </w:rPr>
        <w:t xml:space="preserve"> </w:t>
      </w:r>
      <w:r w:rsidRPr="009B21AB">
        <w:rPr>
          <w:rFonts w:ascii="Cambria" w:eastAsia="Times New Roman" w:hAnsi="Cambria" w:cs="Times New Roman"/>
        </w:rPr>
        <w:t xml:space="preserve">15/15.) </w:t>
      </w:r>
      <w:r w:rsidRPr="009B21AB">
        <w:rPr>
          <w:rFonts w:ascii="Cambria" w:hAnsi="Cambria"/>
        </w:rPr>
        <w:t>Školski odbo</w:t>
      </w:r>
      <w:r w:rsidR="00B374F2">
        <w:rPr>
          <w:rFonts w:ascii="Cambria" w:hAnsi="Cambria"/>
        </w:rPr>
        <w:t>r je na sjednici održanoj dana 22. prosinca</w:t>
      </w:r>
      <w:r w:rsidRPr="009B21AB">
        <w:rPr>
          <w:rFonts w:ascii="Cambria" w:hAnsi="Cambria"/>
        </w:rPr>
        <w:t xml:space="preserve"> 2020. godine, donio sljedeći</w:t>
      </w:r>
    </w:p>
    <w:p w:rsidR="009E4BE0" w:rsidRPr="009B21AB" w:rsidRDefault="009E4BE0" w:rsidP="009E4BE0">
      <w:pPr>
        <w:pStyle w:val="Bezproreda"/>
        <w:rPr>
          <w:rFonts w:ascii="Cambria" w:hAnsi="Cambria"/>
        </w:rPr>
      </w:pPr>
    </w:p>
    <w:p w:rsidR="009E4BE0" w:rsidRPr="009B21AB" w:rsidRDefault="009E4BE0" w:rsidP="009E4BE0">
      <w:pPr>
        <w:pStyle w:val="Bezproreda"/>
        <w:rPr>
          <w:rFonts w:ascii="Cambria" w:hAnsi="Cambria" w:cs="Times New Roman"/>
        </w:rPr>
      </w:pPr>
      <w:r w:rsidRPr="009B21AB">
        <w:rPr>
          <w:rFonts w:ascii="Cambria" w:hAnsi="Cambria" w:cs="Times New Roman"/>
        </w:rPr>
        <w:tab/>
      </w:r>
      <w:r w:rsidRPr="009B21AB">
        <w:rPr>
          <w:rFonts w:ascii="Cambria" w:hAnsi="Cambria" w:cs="Times New Roman"/>
        </w:rPr>
        <w:tab/>
        <w:t xml:space="preserve">    </w:t>
      </w:r>
    </w:p>
    <w:p w:rsidR="009E4BE0" w:rsidRPr="00B374F2" w:rsidRDefault="00C33ABC" w:rsidP="009E4BE0">
      <w:pPr>
        <w:pStyle w:val="Bezproreda"/>
        <w:jc w:val="center"/>
        <w:rPr>
          <w:rFonts w:ascii="Cambria" w:hAnsi="Cambria" w:cs="Times New Roman"/>
          <w:b/>
          <w:sz w:val="26"/>
          <w:szCs w:val="26"/>
        </w:rPr>
      </w:pPr>
      <w:r w:rsidRPr="00B374F2">
        <w:rPr>
          <w:rFonts w:ascii="Cambria" w:hAnsi="Cambria" w:cs="Times New Roman"/>
          <w:b/>
          <w:sz w:val="26"/>
          <w:szCs w:val="26"/>
        </w:rPr>
        <w:t>PRAVILNIK O SUKCESIVNOM PLANIRANJU TROŠENJA VIŠKOVA</w:t>
      </w:r>
      <w:r w:rsidR="006406BC" w:rsidRPr="00B374F2">
        <w:rPr>
          <w:rFonts w:ascii="Cambria" w:hAnsi="Cambria" w:cs="Times New Roman"/>
          <w:b/>
          <w:sz w:val="26"/>
          <w:szCs w:val="26"/>
        </w:rPr>
        <w:t xml:space="preserve"> POSLOVANJA</w:t>
      </w:r>
    </w:p>
    <w:p w:rsidR="00C33ABC" w:rsidRPr="009B21AB" w:rsidRDefault="00C33ABC" w:rsidP="009E4BE0">
      <w:pPr>
        <w:pStyle w:val="Bezproreda"/>
        <w:jc w:val="center"/>
        <w:rPr>
          <w:rFonts w:ascii="Cambria" w:hAnsi="Cambria" w:cs="Times New Roman"/>
          <w:b/>
        </w:rPr>
      </w:pPr>
    </w:p>
    <w:p w:rsidR="00C33ABC" w:rsidRPr="009B21AB" w:rsidRDefault="00C33ABC" w:rsidP="009E4BE0">
      <w:pPr>
        <w:pStyle w:val="Bezproreda"/>
        <w:jc w:val="center"/>
        <w:rPr>
          <w:rFonts w:ascii="Cambria" w:hAnsi="Cambria" w:cs="Times New Roman"/>
          <w:b/>
        </w:rPr>
      </w:pPr>
    </w:p>
    <w:p w:rsidR="00C33ABC" w:rsidRPr="009B21AB" w:rsidRDefault="00C33ABC" w:rsidP="009E4BE0">
      <w:pPr>
        <w:pStyle w:val="Bezproreda"/>
        <w:jc w:val="center"/>
        <w:rPr>
          <w:rFonts w:ascii="Cambria" w:hAnsi="Cambria" w:cs="Times New Roman"/>
          <w:b/>
        </w:rPr>
      </w:pPr>
      <w:r w:rsidRPr="009B21AB">
        <w:rPr>
          <w:rFonts w:ascii="Cambria" w:hAnsi="Cambria" w:cs="Times New Roman"/>
          <w:b/>
        </w:rPr>
        <w:t>Članak 1.</w:t>
      </w:r>
    </w:p>
    <w:p w:rsidR="00C33ABC" w:rsidRPr="009B21AB" w:rsidRDefault="00C33ABC" w:rsidP="009E4BE0">
      <w:pPr>
        <w:pStyle w:val="Bezproreda"/>
        <w:jc w:val="center"/>
        <w:rPr>
          <w:rFonts w:ascii="Cambria" w:hAnsi="Cambria" w:cs="Times New Roman"/>
          <w:b/>
        </w:rPr>
      </w:pPr>
    </w:p>
    <w:p w:rsidR="006406BC" w:rsidRPr="009B21AB" w:rsidRDefault="005569B8" w:rsidP="009B21AB">
      <w:pPr>
        <w:pStyle w:val="Bezproreda"/>
        <w:ind w:firstLine="708"/>
        <w:jc w:val="both"/>
        <w:rPr>
          <w:rFonts w:ascii="Cambria" w:hAnsi="Cambria" w:cs="Times New Roman"/>
        </w:rPr>
      </w:pPr>
      <w:r w:rsidRPr="009B21AB">
        <w:rPr>
          <w:rFonts w:ascii="Cambria" w:hAnsi="Cambria" w:cs="Times New Roman"/>
        </w:rPr>
        <w:t>Odredbe ovog Pravilnika odnose se na sukcesivno planiranje trošenja viškova</w:t>
      </w:r>
      <w:r w:rsidR="00BC5D01" w:rsidRPr="009B21AB">
        <w:rPr>
          <w:rFonts w:ascii="Cambria" w:hAnsi="Cambria" w:cs="Times New Roman"/>
        </w:rPr>
        <w:t xml:space="preserve"> poslovanja</w:t>
      </w:r>
      <w:r w:rsidRPr="009B21AB">
        <w:rPr>
          <w:rFonts w:ascii="Cambria" w:hAnsi="Cambria" w:cs="Times New Roman"/>
        </w:rPr>
        <w:t xml:space="preserve"> prilikom donošenja financijskog plana i projekcija za iduće dvije godine.</w:t>
      </w:r>
      <w:r w:rsidR="006406BC" w:rsidRPr="009B21AB">
        <w:rPr>
          <w:rFonts w:ascii="Cambria" w:hAnsi="Cambria" w:cs="Times New Roman"/>
        </w:rPr>
        <w:t xml:space="preserve"> </w:t>
      </w:r>
    </w:p>
    <w:p w:rsidR="00D31BBC" w:rsidRPr="009B21AB" w:rsidRDefault="00D31BBC" w:rsidP="005569B8">
      <w:pPr>
        <w:jc w:val="both"/>
        <w:rPr>
          <w:rFonts w:ascii="Cambria" w:hAnsi="Cambria"/>
          <w:b/>
        </w:rPr>
      </w:pPr>
    </w:p>
    <w:p w:rsidR="00A65760" w:rsidRPr="009B21AB" w:rsidRDefault="00A65760" w:rsidP="00A65760">
      <w:pPr>
        <w:jc w:val="center"/>
        <w:rPr>
          <w:rFonts w:ascii="Cambria" w:hAnsi="Cambria" w:cs="Times New Roman"/>
          <w:b/>
        </w:rPr>
      </w:pPr>
      <w:r w:rsidRPr="009B21AB">
        <w:rPr>
          <w:rFonts w:ascii="Cambria" w:hAnsi="Cambria" w:cs="Times New Roman"/>
          <w:b/>
        </w:rPr>
        <w:t>Članak 2.</w:t>
      </w:r>
    </w:p>
    <w:p w:rsidR="00BC5D01" w:rsidRPr="009B21AB" w:rsidRDefault="00BC5D01" w:rsidP="009B21AB">
      <w:pPr>
        <w:ind w:firstLine="708"/>
        <w:jc w:val="both"/>
        <w:rPr>
          <w:rFonts w:ascii="Cambria" w:hAnsi="Cambria" w:cs="Times New Roman"/>
        </w:rPr>
      </w:pPr>
      <w:r w:rsidRPr="009B21AB">
        <w:rPr>
          <w:rFonts w:ascii="Cambria" w:hAnsi="Cambria" w:cs="Times New Roman"/>
        </w:rPr>
        <w:t>Škola</w:t>
      </w:r>
      <w:r w:rsidR="004A320C" w:rsidRPr="009B21AB">
        <w:rPr>
          <w:rFonts w:ascii="Cambria" w:hAnsi="Cambria" w:cs="Times New Roman"/>
        </w:rPr>
        <w:t xml:space="preserve"> višak u </w:t>
      </w:r>
      <w:r w:rsidR="00B46601" w:rsidRPr="009B21AB">
        <w:rPr>
          <w:rFonts w:ascii="Cambria" w:hAnsi="Cambria" w:cs="Times New Roman"/>
        </w:rPr>
        <w:t xml:space="preserve">poslovanju ima od </w:t>
      </w:r>
      <w:r w:rsidR="004A320C" w:rsidRPr="009B21AB">
        <w:rPr>
          <w:rFonts w:ascii="Cambria" w:hAnsi="Cambria" w:cs="Times New Roman"/>
        </w:rPr>
        <w:t>vlastitih prihoda te</w:t>
      </w:r>
      <w:r w:rsidRPr="009B21AB">
        <w:rPr>
          <w:rFonts w:ascii="Cambria" w:hAnsi="Cambria" w:cs="Times New Roman"/>
        </w:rPr>
        <w:t xml:space="preserve"> će u slučaju ostvarivanja većih iznosa viškova poslovanja iz prethodnih godina raspoređivat iznos sukcesivno kroz tri godine.</w:t>
      </w:r>
      <w:r w:rsidR="005307E5" w:rsidRPr="009B21AB">
        <w:rPr>
          <w:rFonts w:ascii="Cambria" w:hAnsi="Cambria" w:cs="Times New Roman"/>
        </w:rPr>
        <w:t xml:space="preserve"> </w:t>
      </w:r>
    </w:p>
    <w:p w:rsidR="00BC5D01" w:rsidRPr="009B21AB" w:rsidRDefault="00BC5D01" w:rsidP="009B21AB">
      <w:pPr>
        <w:jc w:val="center"/>
        <w:rPr>
          <w:rFonts w:ascii="Cambria" w:hAnsi="Cambria" w:cs="Times New Roman"/>
          <w:b/>
        </w:rPr>
      </w:pPr>
      <w:r w:rsidRPr="009B21AB">
        <w:rPr>
          <w:rFonts w:ascii="Cambria" w:hAnsi="Cambria" w:cs="Times New Roman"/>
          <w:b/>
        </w:rPr>
        <w:t>Članak 3.</w:t>
      </w:r>
    </w:p>
    <w:p w:rsidR="003B4B11" w:rsidRPr="009B21AB" w:rsidRDefault="006406BC" w:rsidP="009B21AB">
      <w:pPr>
        <w:ind w:firstLine="708"/>
        <w:jc w:val="both"/>
        <w:rPr>
          <w:rFonts w:ascii="Cambria" w:hAnsi="Cambria" w:cs="Times New Roman"/>
        </w:rPr>
      </w:pPr>
      <w:r w:rsidRPr="009B21AB">
        <w:rPr>
          <w:rFonts w:ascii="Cambria" w:hAnsi="Cambria" w:cs="Times New Roman"/>
        </w:rPr>
        <w:t>Školski odbor Škole p</w:t>
      </w:r>
      <w:r w:rsidR="00971DFE" w:rsidRPr="009B21AB">
        <w:rPr>
          <w:rFonts w:ascii="Cambria" w:hAnsi="Cambria" w:cs="Times New Roman"/>
        </w:rPr>
        <w:t>rilikom</w:t>
      </w:r>
      <w:r w:rsidR="00A65760" w:rsidRPr="009B21AB">
        <w:rPr>
          <w:rFonts w:ascii="Cambria" w:hAnsi="Cambria" w:cs="Times New Roman"/>
        </w:rPr>
        <w:t xml:space="preserve"> usvajanja financijskog plana i njegovih projekcija za iduće dvije godine </w:t>
      </w:r>
      <w:r w:rsidR="009B21AB" w:rsidRPr="009B21AB">
        <w:rPr>
          <w:rFonts w:ascii="Cambria" w:hAnsi="Cambria" w:cs="Times New Roman"/>
        </w:rPr>
        <w:t>u kojem je Š</w:t>
      </w:r>
      <w:r w:rsidRPr="009B21AB">
        <w:rPr>
          <w:rFonts w:ascii="Cambria" w:hAnsi="Cambria" w:cs="Times New Roman"/>
        </w:rPr>
        <w:t>kola rasporedila sukcesivno planiranje trošenja viška poslovanja iz prethodnih godina kroz tri godine usva</w:t>
      </w:r>
      <w:r w:rsidR="00BC5D01" w:rsidRPr="009B21AB">
        <w:rPr>
          <w:rFonts w:ascii="Cambria" w:hAnsi="Cambria" w:cs="Times New Roman"/>
        </w:rPr>
        <w:t>jat</w:t>
      </w:r>
      <w:r w:rsidR="003B4B11" w:rsidRPr="009B21AB">
        <w:rPr>
          <w:rFonts w:ascii="Cambria" w:hAnsi="Cambria" w:cs="Times New Roman"/>
        </w:rPr>
        <w:t xml:space="preserve"> će </w:t>
      </w:r>
      <w:r w:rsidRPr="009B21AB">
        <w:rPr>
          <w:rFonts w:ascii="Cambria" w:hAnsi="Cambria" w:cs="Times New Roman"/>
        </w:rPr>
        <w:t>i akt u kojem će biti obrazložen iznos viška t</w:t>
      </w:r>
      <w:r w:rsidR="00BC5D01" w:rsidRPr="009B21AB">
        <w:rPr>
          <w:rFonts w:ascii="Cambria" w:hAnsi="Cambria" w:cs="Times New Roman"/>
        </w:rPr>
        <w:t xml:space="preserve">e prijedlozi njegovog smanjenja </w:t>
      </w:r>
      <w:r w:rsidR="003B4B11" w:rsidRPr="009B21AB">
        <w:rPr>
          <w:rFonts w:ascii="Cambria" w:hAnsi="Cambria" w:cs="Times New Roman"/>
        </w:rPr>
        <w:t>odnosno svrhe za koju će se upotrijebiti u zadanom trogodišnjem okviru.</w:t>
      </w:r>
    </w:p>
    <w:p w:rsidR="009B21AB" w:rsidRPr="009B21AB" w:rsidRDefault="003B4B11" w:rsidP="009B21AB">
      <w:pPr>
        <w:jc w:val="center"/>
        <w:rPr>
          <w:rFonts w:ascii="Cambria" w:hAnsi="Cambria" w:cs="Times New Roman"/>
          <w:b/>
        </w:rPr>
      </w:pPr>
      <w:r w:rsidRPr="009B21AB">
        <w:rPr>
          <w:rFonts w:ascii="Cambria" w:hAnsi="Cambria" w:cs="Times New Roman"/>
          <w:b/>
        </w:rPr>
        <w:t>Članak 4.</w:t>
      </w:r>
    </w:p>
    <w:p w:rsidR="001B38A7" w:rsidRPr="009B21AB" w:rsidRDefault="001B38A7" w:rsidP="009B21AB">
      <w:pPr>
        <w:ind w:firstLine="708"/>
        <w:jc w:val="both"/>
        <w:rPr>
          <w:rFonts w:ascii="Cambria" w:hAnsi="Cambria" w:cs="Times New Roman"/>
        </w:rPr>
      </w:pPr>
      <w:r w:rsidRPr="009B21AB">
        <w:rPr>
          <w:rFonts w:ascii="Cambria" w:hAnsi="Cambria" w:cs="Times New Roman"/>
        </w:rPr>
        <w:t>Ovaj Pravilnik stupa na snagu istekom osmog dana od dana objave na oglasnoj ploči Škole.</w:t>
      </w:r>
    </w:p>
    <w:p w:rsidR="001B38A7" w:rsidRPr="009B21AB" w:rsidRDefault="001B38A7" w:rsidP="001B38A7">
      <w:pPr>
        <w:pStyle w:val="Bezproreda"/>
        <w:jc w:val="both"/>
        <w:rPr>
          <w:rFonts w:ascii="Cambria" w:hAnsi="Cambria" w:cs="Times New Roman"/>
        </w:rPr>
      </w:pP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KLASA:</w:t>
      </w:r>
      <w:r w:rsidR="00B374F2">
        <w:rPr>
          <w:rFonts w:ascii="Cambria" w:hAnsi="Cambria" w:cs="Times New Roman"/>
        </w:rPr>
        <w:t xml:space="preserve"> 003-05/20-01/17</w:t>
      </w:r>
      <w:bookmarkStart w:id="0" w:name="_GoBack"/>
      <w:bookmarkEnd w:id="0"/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URBROJ:</w:t>
      </w:r>
      <w:r w:rsidR="00B374F2">
        <w:rPr>
          <w:rFonts w:ascii="Cambria" w:hAnsi="Cambria" w:cs="Times New Roman"/>
        </w:rPr>
        <w:t xml:space="preserve"> 238-32-27-01-20-1</w:t>
      </w: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U Vrbovcu,  </w:t>
      </w:r>
      <w:r w:rsidR="00B374F2">
        <w:rPr>
          <w:rFonts w:ascii="Cambria" w:hAnsi="Cambria" w:cs="Times New Roman"/>
        </w:rPr>
        <w:t>22. prosinca</w:t>
      </w:r>
      <w:r w:rsidRPr="00FA523E">
        <w:rPr>
          <w:rFonts w:ascii="Cambria" w:hAnsi="Cambria" w:cs="Times New Roman"/>
        </w:rPr>
        <w:t xml:space="preserve">  2020. godine</w:t>
      </w: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                                   </w:t>
      </w: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                                                                                 </w:t>
      </w:r>
      <w:r>
        <w:rPr>
          <w:rFonts w:ascii="Cambria" w:hAnsi="Cambria" w:cs="Times New Roman"/>
        </w:rPr>
        <w:t xml:space="preserve"> </w:t>
      </w:r>
      <w:r w:rsidRPr="00FA523E">
        <w:rPr>
          <w:rFonts w:ascii="Cambria" w:hAnsi="Cambria" w:cs="Times New Roman"/>
        </w:rPr>
        <w:t xml:space="preserve">   Predsjednica Školskog odbora:</w:t>
      </w: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                                                                                    _________________</w:t>
      </w:r>
      <w:r>
        <w:rPr>
          <w:rFonts w:ascii="Cambria" w:hAnsi="Cambria" w:cs="Times New Roman"/>
        </w:rPr>
        <w:t>___</w:t>
      </w:r>
      <w:r w:rsidRPr="00FA523E">
        <w:rPr>
          <w:rFonts w:ascii="Cambria" w:hAnsi="Cambria" w:cs="Times New Roman"/>
        </w:rPr>
        <w:t>___________________</w:t>
      </w: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  <w:t xml:space="preserve">                     Ljiljana Škrinjar, prof. i dipl. bibl.</w:t>
      </w: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>Pravilnik je objavljen na oglasnoj ploči Škole</w:t>
      </w:r>
      <w:r w:rsidR="00B374F2">
        <w:rPr>
          <w:rFonts w:ascii="Cambria" w:hAnsi="Cambria" w:cs="Times New Roman"/>
        </w:rPr>
        <w:t xml:space="preserve"> i mrežnoj stranici Škole dana 28. prosinca</w:t>
      </w:r>
      <w:r w:rsidRPr="00FA523E">
        <w:rPr>
          <w:rFonts w:ascii="Cambria" w:hAnsi="Cambria" w:cs="Times New Roman"/>
        </w:rPr>
        <w:t xml:space="preserve"> 2020. godine.</w:t>
      </w: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                                                                  </w:t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  <w:t xml:space="preserve">           Ravnateljica:</w:t>
      </w: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</w:p>
    <w:p w:rsidR="009B21AB" w:rsidRPr="00FA523E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                                                                                              ______________</w:t>
      </w:r>
      <w:r>
        <w:rPr>
          <w:rFonts w:ascii="Cambria" w:hAnsi="Cambria" w:cs="Times New Roman"/>
        </w:rPr>
        <w:t>____</w:t>
      </w:r>
      <w:r w:rsidRPr="00FA523E">
        <w:rPr>
          <w:rFonts w:ascii="Cambria" w:hAnsi="Cambria" w:cs="Times New Roman"/>
        </w:rPr>
        <w:t>_________</w:t>
      </w:r>
    </w:p>
    <w:p w:rsidR="00971DFE" w:rsidRPr="009B21AB" w:rsidRDefault="009B21AB" w:rsidP="009B21AB">
      <w:pPr>
        <w:spacing w:after="0"/>
        <w:rPr>
          <w:rFonts w:ascii="Cambria" w:hAnsi="Cambria" w:cs="Times New Roman"/>
        </w:rPr>
      </w:pPr>
      <w:r w:rsidRPr="00FA523E">
        <w:rPr>
          <w:rFonts w:ascii="Cambria" w:hAnsi="Cambria" w:cs="Times New Roman"/>
        </w:rPr>
        <w:t xml:space="preserve">        </w:t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</w:r>
      <w:r w:rsidRPr="00FA523E">
        <w:rPr>
          <w:rFonts w:ascii="Cambria" w:hAnsi="Cambria" w:cs="Times New Roman"/>
        </w:rPr>
        <w:tab/>
        <w:t xml:space="preserve">       Edina Operta, prof.</w:t>
      </w:r>
    </w:p>
    <w:sectPr w:rsidR="00971DFE" w:rsidRPr="009B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595"/>
    <w:multiLevelType w:val="hybridMultilevel"/>
    <w:tmpl w:val="AD82E4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B350B1"/>
    <w:multiLevelType w:val="hybridMultilevel"/>
    <w:tmpl w:val="9DDC8F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A3327"/>
    <w:multiLevelType w:val="hybridMultilevel"/>
    <w:tmpl w:val="3766B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17BD"/>
    <w:multiLevelType w:val="hybridMultilevel"/>
    <w:tmpl w:val="AFFE2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5B9E"/>
    <w:multiLevelType w:val="hybridMultilevel"/>
    <w:tmpl w:val="181E7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43DA"/>
    <w:multiLevelType w:val="hybridMultilevel"/>
    <w:tmpl w:val="79867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0"/>
    <w:rsid w:val="00131E0B"/>
    <w:rsid w:val="001B38A7"/>
    <w:rsid w:val="00210893"/>
    <w:rsid w:val="003B4B11"/>
    <w:rsid w:val="004A320C"/>
    <w:rsid w:val="004A64CD"/>
    <w:rsid w:val="005307E5"/>
    <w:rsid w:val="005569B8"/>
    <w:rsid w:val="006406BC"/>
    <w:rsid w:val="00971DFE"/>
    <w:rsid w:val="009B21AB"/>
    <w:rsid w:val="009E4BE0"/>
    <w:rsid w:val="00A5574B"/>
    <w:rsid w:val="00A65760"/>
    <w:rsid w:val="00B374F2"/>
    <w:rsid w:val="00B46601"/>
    <w:rsid w:val="00BC5D01"/>
    <w:rsid w:val="00C33ABC"/>
    <w:rsid w:val="00D3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DE73"/>
  <w15:docId w15:val="{CC5EA3D3-BD70-4023-AB63-457C495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4BE0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B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21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3</cp:revision>
  <cp:lastPrinted>2020-12-29T09:06:00Z</cp:lastPrinted>
  <dcterms:created xsi:type="dcterms:W3CDTF">2020-11-26T11:13:00Z</dcterms:created>
  <dcterms:modified xsi:type="dcterms:W3CDTF">2020-12-29T09:06:00Z</dcterms:modified>
</cp:coreProperties>
</file>